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9</w:t>
      </w:r>
    </w:p>
    <w:p>
      <w:pPr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校级项目库入库完整资料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基建类（新建类和修缮类）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leftChars="200" w:firstLine="320" w:firstLineChars="1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1.项目预算申报表；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leftChars="200" w:firstLine="320" w:firstLineChars="1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专家评审结果及立项依据（结果有明确的结果导向，如同意或不同意此方案等）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0" w:firstLineChars="1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有资质设计机构编制盖章的报告文件和施工图纸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0" w:firstLineChars="1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有资质造价机构编制盖章的工程预算书、招标控制价、工程量清单及其计算底稿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　5.</w:t>
      </w:r>
      <w:r>
        <w:rPr>
          <w:rFonts w:hint="eastAsia" w:ascii="仿宋" w:hAnsi="仿宋" w:eastAsia="仿宋" w:cs="仿宋"/>
          <w:sz w:val="32"/>
          <w:szCs w:val="32"/>
        </w:rPr>
        <w:t>项目立项及概算等发改委的批复文件（新建项目）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　6.</w:t>
      </w:r>
      <w:r>
        <w:rPr>
          <w:rFonts w:hint="eastAsia" w:ascii="仿宋" w:hAnsi="仿宋" w:eastAsia="仿宋" w:cs="仿宋"/>
          <w:sz w:val="32"/>
          <w:szCs w:val="32"/>
        </w:rPr>
        <w:t>工程地质勘察资料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　7.</w:t>
      </w:r>
      <w:r>
        <w:rPr>
          <w:rFonts w:hint="eastAsia" w:ascii="仿宋" w:hAnsi="仿宋" w:eastAsia="仿宋" w:cs="仿宋"/>
          <w:sz w:val="32"/>
          <w:szCs w:val="32"/>
        </w:rPr>
        <w:t>维修改造方案及其批复文件（上级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主管</w:t>
      </w:r>
      <w:r>
        <w:rPr>
          <w:rFonts w:hint="eastAsia" w:ascii="仿宋" w:hAnsi="仿宋" w:eastAsia="仿宋" w:cs="仿宋"/>
          <w:sz w:val="32"/>
          <w:szCs w:val="32"/>
        </w:rPr>
        <w:t>部门）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　8.</w:t>
      </w:r>
      <w:r>
        <w:rPr>
          <w:rFonts w:hint="eastAsia" w:ascii="仿宋" w:hAnsi="仿宋" w:eastAsia="仿宋" w:cs="仿宋"/>
          <w:sz w:val="32"/>
          <w:szCs w:val="32"/>
        </w:rPr>
        <w:t>同意立项的会议纪要（校长办公会、党委会）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　9.</w:t>
      </w:r>
      <w:r>
        <w:rPr>
          <w:rFonts w:hint="eastAsia" w:ascii="仿宋" w:hAnsi="仿宋" w:eastAsia="仿宋" w:cs="仿宋"/>
          <w:sz w:val="32"/>
          <w:szCs w:val="32"/>
        </w:rPr>
        <w:t>上级部门及财政厅评审中心预算评审结果文件等有关资料。（100万元以上或上级部门及财政厅主管处室要求）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0" w:firstLine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　10.</w:t>
      </w:r>
      <w:r>
        <w:rPr>
          <w:rFonts w:hint="eastAsia" w:ascii="仿宋" w:hAnsi="仿宋" w:eastAsia="仿宋" w:cs="仿宋"/>
          <w:sz w:val="32"/>
          <w:szCs w:val="32"/>
        </w:rPr>
        <w:t>新增重大项目（500万元以上）需开展事前绩效评估。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二、设备购置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leftChars="200" w:firstLine="320" w:firstLineChars="1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1.项目预算申报表；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leftChars="200" w:firstLine="320" w:firstLineChars="1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专家评审结果及立项依据（结果有明确的结果导向，如同意或不同意此方案等）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Chars="200" w:firstLine="320" w:firstLineChars="1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设备清单（品目、规格、产品描述、数量、单价、选装件）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Chars="200" w:firstLine="320" w:firstLineChars="1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产品彩页、产品注册证、厂家证件（三家）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Chars="200" w:firstLine="320" w:firstLineChars="1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sz w:val="32"/>
          <w:szCs w:val="32"/>
        </w:rPr>
        <w:t>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品</w:t>
      </w:r>
      <w:r>
        <w:rPr>
          <w:rFonts w:hint="eastAsia" w:ascii="仿宋" w:hAnsi="仿宋" w:eastAsia="仿宋" w:cs="仿宋"/>
          <w:sz w:val="32"/>
          <w:szCs w:val="32"/>
        </w:rPr>
        <w:t>介绍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Chars="200" w:firstLine="320" w:firstLineChars="1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 w:cs="仿宋"/>
          <w:sz w:val="32"/>
          <w:szCs w:val="32"/>
        </w:rPr>
        <w:t>价格证明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Chars="200" w:firstLine="320" w:firstLineChars="1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</w:t>
      </w:r>
      <w:r>
        <w:rPr>
          <w:rFonts w:hint="eastAsia" w:ascii="仿宋" w:hAnsi="仿宋" w:eastAsia="仿宋" w:cs="仿宋"/>
          <w:sz w:val="32"/>
          <w:szCs w:val="32"/>
        </w:rPr>
        <w:t>产品报价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Chars="200" w:firstLine="320" w:firstLineChars="1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</w:t>
      </w:r>
      <w:r>
        <w:rPr>
          <w:rFonts w:hint="eastAsia" w:ascii="仿宋" w:hAnsi="仿宋" w:eastAsia="仿宋" w:cs="仿宋"/>
          <w:sz w:val="32"/>
          <w:szCs w:val="32"/>
        </w:rPr>
        <w:t>第三方论证报告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leftChars="200" w:firstLine="320" w:firstLineChars="1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</w:t>
      </w:r>
      <w:r>
        <w:rPr>
          <w:rFonts w:hint="eastAsia" w:ascii="仿宋" w:hAnsi="仿宋" w:eastAsia="仿宋" w:cs="仿宋"/>
          <w:sz w:val="32"/>
          <w:szCs w:val="32"/>
        </w:rPr>
        <w:t>上级部门及财政厅评审中心预算评审结果文件等有关资料（100万元以上或上级部门及财政厅主管处室要求）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Chars="200" w:firstLine="320" w:firstLineChars="1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10.</w:t>
      </w:r>
      <w:r>
        <w:rPr>
          <w:rFonts w:hint="eastAsia" w:ascii="仿宋" w:hAnsi="仿宋" w:eastAsia="仿宋" w:cs="仿宋"/>
          <w:sz w:val="32"/>
          <w:szCs w:val="32"/>
        </w:rPr>
        <w:t>新增重大项目（500万元以上）需开展事前绩效评估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三、软性项目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Chars="200" w:firstLine="320" w:firstLineChars="100"/>
        <w:textAlignment w:val="auto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1.项目预算申报表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leftChars="200" w:firstLine="320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专家评审结果及立项依据（结果有明确的结果导向，如同意或不同意此方案等）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leftChars="200" w:firstLine="320" w:firstLineChars="100"/>
        <w:textAlignment w:val="auto"/>
        <w:rPr>
          <w:rFonts w:ascii="黑体" w:hAnsi="黑体" w:eastAsia="黑体" w:cs="黑体"/>
          <w:color w:val="000000"/>
          <w:sz w:val="36"/>
          <w:szCs w:val="36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项目申请书(项目基本情况、项目建设目标、项目建设内容、项目实施进度和组织安排、验收指标)</w:t>
      </w:r>
    </w:p>
    <w:p>
      <w:pPr>
        <w:pStyle w:val="20"/>
        <w:spacing w:line="460" w:lineRule="exact"/>
        <w:ind w:right="840" w:rightChars="400" w:firstLine="0"/>
        <w:rPr>
          <w:rFonts w:ascii="黑体" w:hAnsi="黑体" w:eastAsia="黑体" w:cs="黑体"/>
          <w:color w:val="000000"/>
          <w:sz w:val="36"/>
          <w:szCs w:val="36"/>
        </w:rPr>
      </w:pPr>
    </w:p>
    <w:p>
      <w:pPr>
        <w:pStyle w:val="20"/>
        <w:spacing w:line="460" w:lineRule="exact"/>
        <w:ind w:right="840" w:rightChars="400" w:firstLine="0"/>
        <w:rPr>
          <w:rFonts w:ascii="黑体" w:hAnsi="黑体" w:eastAsia="黑体" w:cs="黑体"/>
          <w:color w:val="000000"/>
          <w:sz w:val="36"/>
          <w:szCs w:val="36"/>
        </w:rPr>
      </w:pPr>
    </w:p>
    <w:p>
      <w:pPr>
        <w:pStyle w:val="20"/>
        <w:spacing w:line="500" w:lineRule="exact"/>
        <w:ind w:firstLine="0"/>
        <w:rPr>
          <w:rFonts w:ascii="仿宋_GB2312" w:hAnsi="仿宋_GB2312" w:eastAsia="仿宋_GB2312" w:cs="仿宋_GB2312"/>
          <w:color w:val="000000"/>
          <w:sz w:val="36"/>
          <w:szCs w:val="36"/>
        </w:rPr>
      </w:pPr>
    </w:p>
    <w:p>
      <w:pPr>
        <w:pStyle w:val="20"/>
        <w:spacing w:line="500" w:lineRule="exact"/>
        <w:ind w:firstLine="0"/>
        <w:rPr>
          <w:rFonts w:ascii="仿宋_GB2312" w:hAnsi="仿宋_GB2312" w:eastAsia="仿宋_GB2312" w:cs="仿宋_GB2312"/>
          <w:color w:val="000000"/>
          <w:sz w:val="36"/>
          <w:szCs w:val="36"/>
        </w:rPr>
      </w:pPr>
    </w:p>
    <w:p>
      <w:pPr>
        <w:pStyle w:val="20"/>
        <w:spacing w:line="500" w:lineRule="exact"/>
        <w:ind w:firstLine="0"/>
        <w:rPr>
          <w:rFonts w:ascii="仿宋_GB2312" w:hAnsi="仿宋_GB2312" w:eastAsia="仿宋_GB2312" w:cs="仿宋_GB2312"/>
          <w:color w:val="000000"/>
          <w:sz w:val="36"/>
          <w:szCs w:val="36"/>
        </w:rPr>
      </w:pP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>
    <w:pPr>
      <w:pStyle w:val="9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4C74734"/>
    <w:multiLevelType w:val="singleLevel"/>
    <w:tmpl w:val="B4C7473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A7A559F"/>
    <w:multiLevelType w:val="singleLevel"/>
    <w:tmpl w:val="5A7A559F"/>
    <w:lvl w:ilvl="0" w:tentative="0">
      <w:start w:val="2"/>
      <w:numFmt w:val="chineseCounting"/>
      <w:pStyle w:val="5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